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66C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-843280</wp:posOffset>
            </wp:positionV>
            <wp:extent cx="544830" cy="7124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1745" w:right="195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966C9">
      <w:pPr>
        <w:widowControl w:val="0"/>
        <w:tabs>
          <w:tab w:val="left" w:pos="7266"/>
        </w:tabs>
        <w:autoSpaceDE w:val="0"/>
        <w:autoSpaceDN w:val="0"/>
        <w:adjustRightInd w:val="0"/>
        <w:spacing w:before="27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1753 </w:t>
      </w:r>
    </w:p>
    <w:p w:rsidR="00000000" w:rsidRDefault="00D966C9">
      <w:pPr>
        <w:widowControl w:val="0"/>
        <w:autoSpaceDE w:val="0"/>
        <w:autoSpaceDN w:val="0"/>
        <w:adjustRightInd w:val="0"/>
        <w:spacing w:before="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before="170" w:after="0" w:line="330" w:lineRule="exact"/>
        <w:ind w:left="262" w:right="4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966C9">
      <w:pPr>
        <w:widowControl w:val="0"/>
        <w:autoSpaceDE w:val="0"/>
        <w:autoSpaceDN w:val="0"/>
        <w:adjustRightInd w:val="0"/>
        <w:spacing w:before="265" w:after="0" w:line="324" w:lineRule="exact"/>
        <w:ind w:left="262" w:right="-10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71),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14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13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6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14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exact"/>
        <w:ind w:left="262" w:right="13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20.05.2013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10" w:lineRule="exact"/>
        <w:ind w:left="2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 17 91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5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61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966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6129" w:right="-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622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before="270" w:after="0" w:line="320" w:lineRule="exact"/>
        <w:ind w:left="545" w:right="1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9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413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before="285" w:after="0" w:line="322" w:lineRule="exact"/>
        <w:ind w:left="4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</w:t>
      </w:r>
      <w:r>
        <w:rPr>
          <w:rFonts w:ascii="Times New Roman" w:hAnsi="Times New Roman" w:cs="Times New Roman"/>
          <w:color w:val="000000"/>
          <w:sz w:val="28"/>
          <w:szCs w:val="24"/>
        </w:rPr>
        <w:t>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96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96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96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982" w:right="14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1.3.2.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413210-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10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4" w:bottom="533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982" w:right="47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5-17-91, 5-05-53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>: 8(84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566) 5-05-53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tabs>
          <w:tab w:val="left" w:pos="5144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9.00 - 17.00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12.00 - 13.00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1.3.3.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D9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</w:t>
      </w:r>
      <w:r>
        <w:rPr>
          <w:rFonts w:ascii="Times New Roman" w:hAnsi="Times New Roman" w:cs="Times New Roman"/>
          <w:color w:val="000000"/>
          <w:sz w:val="28"/>
          <w:szCs w:val="24"/>
        </w:rPr>
        <w:t>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96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D966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1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30" w:lineRule="exact"/>
        <w:ind w:left="207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D966C9">
      <w:pPr>
        <w:widowControl w:val="0"/>
        <w:tabs>
          <w:tab w:val="left" w:pos="6310"/>
        </w:tabs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4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Times New Roman" w:hAnsi="Times New Roman" w:cs="Times New Roman"/>
          <w:color w:val="000000"/>
          <w:sz w:val="28"/>
          <w:szCs w:val="24"/>
        </w:rPr>
        <w:t>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4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D966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tabs>
          <w:tab w:val="left" w:pos="6937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Правовые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D96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05.12.1994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08.12.1994            </w:t>
      </w:r>
    </w:p>
    <w:p w:rsidR="00000000" w:rsidRDefault="00D966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238-239);</w:t>
      </w:r>
    </w:p>
    <w:p w:rsidR="00000000" w:rsidRDefault="00D966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</w:t>
      </w:r>
    </w:p>
    <w:p w:rsidR="00000000" w:rsidRDefault="00D966C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62" w:right="7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.16,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D966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7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D966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5" w:lineRule="exact"/>
        <w:ind w:left="262" w:right="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</w:t>
      </w:r>
      <w:r>
        <w:rPr>
          <w:rFonts w:ascii="Times New Roman" w:hAnsi="Times New Roman" w:cs="Times New Roman"/>
          <w:color w:val="000000"/>
          <w:sz w:val="28"/>
          <w:szCs w:val="24"/>
        </w:rPr>
        <w:t>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.17,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D966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7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D966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165,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126-12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7);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6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4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>»,13.0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4849); </w:t>
      </w:r>
    </w:p>
    <w:p w:rsidR="00000000" w:rsidRDefault="00D966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    </w:t>
      </w:r>
    </w:p>
    <w:p w:rsidR="00000000" w:rsidRDefault="00D966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.3822);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966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</w:t>
      </w:r>
      <w:r>
        <w:rPr>
          <w:rFonts w:ascii="Times New Roman" w:hAnsi="Times New Roman" w:cs="Times New Roman"/>
          <w:color w:val="000000"/>
          <w:sz w:val="28"/>
          <w:szCs w:val="24"/>
        </w:rPr>
        <w:t>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 </w:t>
      </w:r>
    </w:p>
    <w:p w:rsidR="00000000" w:rsidRDefault="00D966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-23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Приволжскому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29.12.2005                                         </w:t>
      </w:r>
    </w:p>
    <w:p w:rsidR="00000000" w:rsidRDefault="00D966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RU645330002005002);</w:t>
      </w:r>
    </w:p>
    <w:p w:rsidR="00000000" w:rsidRDefault="00D966C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7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15.05.2013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Юстиции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RU645331012013001).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tabs>
          <w:tab w:val="left" w:pos="1872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2.6.1.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27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2766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Для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адреса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объекту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>: -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3" w:lineRule="exact"/>
        <w:ind w:left="262" w:right="2763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-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лица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лица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4"/>
        </w:rPr>
        <w:t>выписка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из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ЕГРЮЛ</w:t>
      </w:r>
      <w:r>
        <w:rPr>
          <w:rFonts w:ascii="Times New Roman" w:hAnsi="Times New Roman" w:cs="Times New Roman"/>
          <w:color w:val="333333"/>
          <w:sz w:val="28"/>
          <w:szCs w:val="24"/>
        </w:rPr>
        <w:t>); -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права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участок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333333"/>
          <w:sz w:val="28"/>
          <w:szCs w:val="24"/>
        </w:rPr>
        <w:t>; -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права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(</w:t>
      </w:r>
      <w:r>
        <w:rPr>
          <w:rFonts w:ascii="Times New Roman" w:hAnsi="Times New Roman" w:cs="Times New Roman"/>
          <w:color w:val="333333"/>
          <w:sz w:val="28"/>
          <w:szCs w:val="24"/>
        </w:rPr>
        <w:t>жилой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4"/>
        </w:rPr>
        <w:t>д</w:t>
      </w:r>
      <w:r>
        <w:rPr>
          <w:rFonts w:ascii="Times New Roman" w:hAnsi="Times New Roman" w:cs="Times New Roman"/>
          <w:color w:val="333333"/>
          <w:sz w:val="28"/>
          <w:szCs w:val="24"/>
        </w:rPr>
        <w:t>.); -</w:t>
      </w:r>
      <w:r>
        <w:rPr>
          <w:rFonts w:ascii="Times New Roman" w:hAnsi="Times New Roman" w:cs="Times New Roman"/>
          <w:color w:val="333333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333333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ремонт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2768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-</w:t>
      </w:r>
      <w:r>
        <w:rPr>
          <w:rFonts w:ascii="Times New Roman" w:hAnsi="Times New Roman" w:cs="Times New Roman"/>
          <w:color w:val="333333"/>
          <w:sz w:val="28"/>
          <w:szCs w:val="24"/>
        </w:rPr>
        <w:t>актуальный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момент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черт</w:t>
      </w:r>
      <w:r>
        <w:rPr>
          <w:rFonts w:ascii="Cambria Math" w:hAnsi="Cambria Math" w:cs="Cambria Math"/>
          <w:color w:val="333333"/>
          <w:sz w:val="28"/>
          <w:szCs w:val="24"/>
        </w:rPr>
        <w:t>ѐ</w:t>
      </w:r>
      <w:r>
        <w:rPr>
          <w:rFonts w:ascii="Times New Roman" w:hAnsi="Times New Roman" w:cs="Times New Roman"/>
          <w:color w:val="333333"/>
          <w:sz w:val="28"/>
          <w:szCs w:val="24"/>
        </w:rPr>
        <w:t>ж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из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проекта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экспликац</w:t>
      </w:r>
      <w:r>
        <w:rPr>
          <w:rFonts w:ascii="Times New Roman" w:hAnsi="Times New Roman" w:cs="Times New Roman"/>
          <w:color w:val="333333"/>
          <w:sz w:val="28"/>
          <w:szCs w:val="24"/>
        </w:rPr>
        <w:t>ией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ситуационный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план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40" w:lineRule="exact"/>
        <w:ind w:left="262" w:right="2765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Для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адреса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объекту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7" w:bottom="348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22" w:lineRule="exact"/>
        <w:ind w:left="262" w:right="-33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-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333333"/>
          <w:sz w:val="28"/>
          <w:szCs w:val="24"/>
        </w:rPr>
        <w:t>; -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лица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свидете</w:t>
      </w:r>
      <w:r>
        <w:rPr>
          <w:rFonts w:ascii="Times New Roman" w:hAnsi="Times New Roman" w:cs="Times New Roman"/>
          <w:color w:val="333333"/>
          <w:sz w:val="28"/>
          <w:szCs w:val="24"/>
        </w:rPr>
        <w:t>льство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лица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4"/>
        </w:rPr>
        <w:t>выписка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из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ЕГРЮЛ</w:t>
      </w:r>
      <w:r>
        <w:rPr>
          <w:rFonts w:ascii="Times New Roman" w:hAnsi="Times New Roman" w:cs="Times New Roman"/>
          <w:color w:val="333333"/>
          <w:sz w:val="28"/>
          <w:szCs w:val="24"/>
        </w:rPr>
        <w:t>); -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права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участок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333333"/>
          <w:sz w:val="28"/>
          <w:szCs w:val="24"/>
        </w:rPr>
        <w:t>; -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права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4"/>
        </w:rPr>
        <w:t>жилой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4"/>
        </w:rPr>
        <w:t>д</w:t>
      </w:r>
      <w:r>
        <w:rPr>
          <w:rFonts w:ascii="Times New Roman" w:hAnsi="Times New Roman" w:cs="Times New Roman"/>
          <w:color w:val="333333"/>
          <w:sz w:val="28"/>
          <w:szCs w:val="24"/>
        </w:rPr>
        <w:t>.); -</w:t>
      </w:r>
      <w:r>
        <w:rPr>
          <w:rFonts w:ascii="Times New Roman" w:hAnsi="Times New Roman" w:cs="Times New Roman"/>
          <w:color w:val="333333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паспорт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адресуемого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иной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-</w:t>
      </w:r>
      <w:r>
        <w:rPr>
          <w:rFonts w:ascii="Times New Roman" w:hAnsi="Times New Roman" w:cs="Times New Roman"/>
          <w:color w:val="333333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333333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ремонт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-</w:t>
      </w:r>
      <w:r>
        <w:rPr>
          <w:rFonts w:ascii="Times New Roman" w:hAnsi="Times New Roman" w:cs="Times New Roman"/>
          <w:color w:val="333333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ввод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2.6.2</w:t>
      </w:r>
      <w:r>
        <w:rPr>
          <w:rFonts w:ascii="Times New Roman" w:hAnsi="Times New Roman" w:cs="Times New Roman"/>
          <w:i/>
          <w:color w:val="333333"/>
          <w:sz w:val="28"/>
          <w:szCs w:val="24"/>
        </w:rPr>
        <w:t>.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виде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заверенных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копий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копий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333333"/>
          <w:sz w:val="28"/>
          <w:szCs w:val="24"/>
        </w:rPr>
        <w:t>Т</w:t>
      </w:r>
      <w:r>
        <w:rPr>
          <w:rFonts w:ascii="Times New Roman" w:hAnsi="Times New Roman" w:cs="Times New Roman"/>
          <w:color w:val="333333"/>
          <w:sz w:val="28"/>
          <w:szCs w:val="24"/>
        </w:rPr>
        <w:t>ребовать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не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не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333333"/>
          <w:sz w:val="28"/>
          <w:szCs w:val="24"/>
        </w:rPr>
        <w:t>При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при</w:t>
      </w:r>
      <w:r>
        <w:rPr>
          <w:rFonts w:ascii="Cambria Math" w:hAnsi="Cambria Math" w:cs="Cambria Math"/>
          <w:color w:val="333333"/>
          <w:sz w:val="28"/>
          <w:szCs w:val="24"/>
        </w:rPr>
        <w:t>ѐ</w:t>
      </w:r>
      <w:r>
        <w:rPr>
          <w:rFonts w:ascii="Times New Roman" w:hAnsi="Times New Roman" w:cs="Times New Roman"/>
          <w:color w:val="333333"/>
          <w:sz w:val="28"/>
          <w:szCs w:val="24"/>
        </w:rPr>
        <w:t>ме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адреса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объекту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предмет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hAnsi="Times New Roman" w:cs="Times New Roman"/>
          <w:color w:val="333333"/>
          <w:sz w:val="28"/>
          <w:szCs w:val="24"/>
        </w:rPr>
        <w:t>омплектности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2.6.4.  </w:t>
      </w:r>
      <w:r>
        <w:rPr>
          <w:rFonts w:ascii="Times New Roman" w:hAnsi="Times New Roman" w:cs="Times New Roman"/>
          <w:color w:val="333333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несут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полноту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2.7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неоговоренные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2.8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D966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966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2.9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2.10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2.11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помещению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котором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</w:t>
      </w:r>
      <w:r>
        <w:rPr>
          <w:rFonts w:ascii="Times New Roman" w:hAnsi="Times New Roman" w:cs="Times New Roman"/>
          <w:color w:val="000000"/>
          <w:sz w:val="28"/>
          <w:szCs w:val="24"/>
        </w:rPr>
        <w:t>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66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262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</w:t>
      </w:r>
      <w:r>
        <w:rPr>
          <w:rFonts w:ascii="Times New Roman" w:hAnsi="Times New Roman" w:cs="Times New Roman"/>
          <w:color w:val="000000"/>
          <w:sz w:val="28"/>
          <w:szCs w:val="24"/>
        </w:rPr>
        <w:t>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www.gosuslugi.ru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ab/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14),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4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</w:t>
      </w:r>
      <w:r>
        <w:rPr>
          <w:rFonts w:ascii="Times New Roman" w:hAnsi="Times New Roman" w:cs="Times New Roman"/>
          <w:color w:val="000000"/>
          <w:sz w:val="28"/>
          <w:szCs w:val="24"/>
        </w:rPr>
        <w:t>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66C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7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</w:t>
      </w:r>
      <w:r>
        <w:rPr>
          <w:rFonts w:ascii="Times New Roman" w:hAnsi="Times New Roman" w:cs="Times New Roman"/>
          <w:color w:val="000000"/>
          <w:sz w:val="28"/>
          <w:szCs w:val="24"/>
        </w:rPr>
        <w:t>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2.12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каче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ства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7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2.12.1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</w:t>
      </w:r>
      <w:r>
        <w:rPr>
          <w:rFonts w:ascii="Times New Roman" w:hAnsi="Times New Roman" w:cs="Times New Roman"/>
          <w:color w:val="000000"/>
          <w:sz w:val="28"/>
          <w:szCs w:val="24"/>
        </w:rPr>
        <w:t>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81" w:right="-1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before="270"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tabs>
          <w:tab w:val="left" w:pos="9738"/>
          <w:tab w:val="left" w:pos="9822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3.3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Прием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регистрация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заявления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обращения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нему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D966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66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tabs>
          <w:tab w:val="left" w:pos="1768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4" w:bottom="348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66C9">
      <w:pPr>
        <w:widowControl w:val="0"/>
        <w:tabs>
          <w:tab w:val="left" w:pos="2902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кадастра</w:t>
      </w:r>
    </w:p>
    <w:p w:rsidR="00000000" w:rsidRDefault="00D966C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межрайонную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инспекцию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»: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966C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межра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йонную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инспекцию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каналам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- 5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tabs>
          <w:tab w:val="left" w:pos="1562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3.5.3.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2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3.5.4.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3.6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3.6.2.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</w:t>
      </w:r>
      <w:r>
        <w:rPr>
          <w:rFonts w:ascii="Times New Roman" w:hAnsi="Times New Roman" w:cs="Times New Roman"/>
          <w:color w:val="000000"/>
          <w:sz w:val="28"/>
          <w:szCs w:val="24"/>
        </w:rPr>
        <w:t>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Прибывший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348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before="190" w:after="0" w:line="330" w:lineRule="exact"/>
        <w:ind w:left="6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7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7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70" w:after="0" w:line="320" w:lineRule="exact"/>
        <w:ind w:left="382" w:right="8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tabs>
          <w:tab w:val="left" w:pos="8068"/>
        </w:tabs>
        <w:autoSpaceDE w:val="0"/>
        <w:autoSpaceDN w:val="0"/>
        <w:adjustRightInd w:val="0"/>
        <w:spacing w:after="0" w:line="330" w:lineRule="exact"/>
        <w:ind w:left="21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40" w:lineRule="exact"/>
        <w:ind w:left="262"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367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5.2.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3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5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66C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66C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tabs>
          <w:tab w:val="left" w:pos="1648"/>
          <w:tab w:val="left" w:pos="175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66C9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66C9">
      <w:pPr>
        <w:widowControl w:val="0"/>
        <w:tabs>
          <w:tab w:val="left" w:pos="98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430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left="5195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51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51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70" w:lineRule="exact"/>
        <w:ind w:left="960" w:right="6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9" w:right="569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5" w:lineRule="exact"/>
        <w:ind w:left="80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9" w:bottom="720" w:left="1440" w:header="720" w:footer="720" w:gutter="0"/>
          <w:cols w:num="6" w:space="720" w:equalWidth="0">
            <w:col w:w="1476" w:space="699"/>
            <w:col w:w="1887" w:space="265"/>
            <w:col w:w="1537" w:space="472"/>
            <w:col w:w="1354" w:space="763"/>
            <w:col w:w="948" w:space="0"/>
            <w:col w:w="-1"/>
          </w:cols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left="533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75" w:lineRule="exact"/>
        <w:ind w:left="533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42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before="15"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D966C9">
      <w:pPr>
        <w:widowControl w:val="0"/>
        <w:tabs>
          <w:tab w:val="left" w:pos="8548"/>
        </w:tabs>
        <w:autoSpaceDE w:val="0"/>
        <w:autoSpaceDN w:val="0"/>
        <w:adjustRightInd w:val="0"/>
        <w:spacing w:after="0" w:line="285" w:lineRule="exact"/>
        <w:ind w:left="1656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</w:t>
      </w:r>
      <w:r>
        <w:rPr>
          <w:rFonts w:ascii="Times New Roman" w:hAnsi="Times New Roman" w:cs="Times New Roman"/>
          <w:color w:val="000000"/>
          <w:sz w:val="18"/>
          <w:szCs w:val="24"/>
        </w:rPr>
        <w:t>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4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4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58" w:right="444" w:bottom="660" w:left="1440" w:header="0" w:footer="0" w:gutter="0"/>
          <w:cols w:space="720"/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left="744" w:right="1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left="920" w:right="13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11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11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60" w:lineRule="exact"/>
        <w:ind w:left="1004" w:right="15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left="920" w:right="14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70" w:lineRule="exact"/>
        <w:ind w:left="10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4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0" w:lineRule="exact"/>
        <w:ind w:left="43" w:right="7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4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60" w:lineRule="exact"/>
        <w:ind w:left="15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4" w:bottom="720" w:left="1440" w:header="720" w:footer="720" w:gutter="0"/>
          <w:cols w:num="3" w:space="720" w:equalWidth="0">
            <w:col w:w="5438" w:space="170"/>
            <w:col w:w="4184" w:space="0"/>
            <w:col w:w="-1"/>
          </w:cols>
          <w:noEndnote/>
        </w:sectPr>
      </w:pP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60" w:lineRule="exact"/>
        <w:ind w:left="4614" w:right="11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75" w:lineRule="exact"/>
        <w:ind w:left="4890" w:right="1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44" w:bottom="720" w:left="1440" w:header="720" w:footer="720" w:gutter="0"/>
      <w:cols w:space="720" w:equalWidth="0">
        <w:col w:w="100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28"/>
    <w:multiLevelType w:val="hybridMultilevel"/>
    <w:tmpl w:val="00006408"/>
    <w:lvl w:ilvl="0" w:tplc="000020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92A"/>
    <w:multiLevelType w:val="hybridMultilevel"/>
    <w:tmpl w:val="00008BCF"/>
    <w:lvl w:ilvl="0" w:tplc="00000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3C9"/>
    <w:multiLevelType w:val="hybridMultilevel"/>
    <w:tmpl w:val="000180CE"/>
    <w:lvl w:ilvl="0" w:tplc="000019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B07"/>
    <w:multiLevelType w:val="hybridMultilevel"/>
    <w:tmpl w:val="0000A934"/>
    <w:lvl w:ilvl="0" w:tplc="0000134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3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7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5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0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F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E89"/>
    <w:multiLevelType w:val="hybridMultilevel"/>
    <w:tmpl w:val="0000A96F"/>
    <w:lvl w:ilvl="0" w:tplc="00000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439"/>
    <w:multiLevelType w:val="hybridMultilevel"/>
    <w:tmpl w:val="0000C473"/>
    <w:lvl w:ilvl="0" w:tplc="00000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5DD"/>
    <w:multiLevelType w:val="hybridMultilevel"/>
    <w:tmpl w:val="0000E36C"/>
    <w:lvl w:ilvl="0" w:tplc="00001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6CC"/>
    <w:multiLevelType w:val="hybridMultilevel"/>
    <w:tmpl w:val="0000C099"/>
    <w:lvl w:ilvl="0" w:tplc="000010A1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D6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EB9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69E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44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A7F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39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926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A73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169"/>
    <w:multiLevelType w:val="hybridMultilevel"/>
    <w:tmpl w:val="0000D7EE"/>
    <w:lvl w:ilvl="0" w:tplc="0000043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56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432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68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B86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08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DDF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4C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1F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296"/>
    <w:multiLevelType w:val="hybridMultilevel"/>
    <w:tmpl w:val="0000FE7C"/>
    <w:lvl w:ilvl="0" w:tplc="00001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7DB"/>
    <w:multiLevelType w:val="hybridMultilevel"/>
    <w:tmpl w:val="00007C57"/>
    <w:lvl w:ilvl="0" w:tplc="00000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6B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2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48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A9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8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B6C"/>
    <w:multiLevelType w:val="hybridMultilevel"/>
    <w:tmpl w:val="0000F439"/>
    <w:lvl w:ilvl="0" w:tplc="000013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DB7"/>
    <w:multiLevelType w:val="hybridMultilevel"/>
    <w:tmpl w:val="00008AF2"/>
    <w:lvl w:ilvl="0" w:tplc="00000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5E2"/>
    <w:multiLevelType w:val="hybridMultilevel"/>
    <w:tmpl w:val="0001698A"/>
    <w:lvl w:ilvl="0" w:tplc="000017E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6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9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A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C41"/>
    <w:multiLevelType w:val="hybridMultilevel"/>
    <w:tmpl w:val="00012262"/>
    <w:lvl w:ilvl="0" w:tplc="000024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0F5"/>
    <w:multiLevelType w:val="hybridMultilevel"/>
    <w:tmpl w:val="000000DF"/>
    <w:lvl w:ilvl="0" w:tplc="00000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077"/>
    <w:multiLevelType w:val="hybridMultilevel"/>
    <w:tmpl w:val="00004500"/>
    <w:lvl w:ilvl="0" w:tplc="00001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10D"/>
    <w:multiLevelType w:val="hybridMultilevel"/>
    <w:tmpl w:val="00008D64"/>
    <w:lvl w:ilvl="0" w:tplc="000003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49A"/>
    <w:multiLevelType w:val="hybridMultilevel"/>
    <w:tmpl w:val="0000E868"/>
    <w:lvl w:ilvl="0" w:tplc="00001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528"/>
    <w:multiLevelType w:val="hybridMultilevel"/>
    <w:tmpl w:val="000148E2"/>
    <w:lvl w:ilvl="0" w:tplc="00001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9E5E"/>
    <w:multiLevelType w:val="hybridMultilevel"/>
    <w:tmpl w:val="00001234"/>
    <w:lvl w:ilvl="0" w:tplc="000014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F08"/>
    <w:multiLevelType w:val="hybridMultilevel"/>
    <w:tmpl w:val="00005968"/>
    <w:lvl w:ilvl="0" w:tplc="00000D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A00B"/>
    <w:multiLevelType w:val="hybridMultilevel"/>
    <w:tmpl w:val="00006A82"/>
    <w:lvl w:ilvl="0" w:tplc="00000233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0F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45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BB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DDF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2A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B05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9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271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AC2C"/>
    <w:multiLevelType w:val="hybridMultilevel"/>
    <w:tmpl w:val="00009DC8"/>
    <w:lvl w:ilvl="0" w:tplc="000017B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B574"/>
    <w:multiLevelType w:val="hybridMultilevel"/>
    <w:tmpl w:val="0000D94B"/>
    <w:lvl w:ilvl="0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D495"/>
    <w:multiLevelType w:val="hybridMultilevel"/>
    <w:tmpl w:val="00005665"/>
    <w:lvl w:ilvl="0" w:tplc="000007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42F"/>
    <w:multiLevelType w:val="hybridMultilevel"/>
    <w:tmpl w:val="00005092"/>
    <w:lvl w:ilvl="0" w:tplc="00001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DE3"/>
    <w:multiLevelType w:val="hybridMultilevel"/>
    <w:tmpl w:val="0000D94A"/>
    <w:lvl w:ilvl="0" w:tplc="00001F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08DA"/>
    <w:multiLevelType w:val="hybridMultilevel"/>
    <w:tmpl w:val="0000C424"/>
    <w:lvl w:ilvl="0" w:tplc="00001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1D8C"/>
    <w:multiLevelType w:val="hybridMultilevel"/>
    <w:tmpl w:val="000065DD"/>
    <w:lvl w:ilvl="0" w:tplc="00000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0C9"/>
    <w:multiLevelType w:val="hybridMultilevel"/>
    <w:tmpl w:val="00002BBE"/>
    <w:lvl w:ilvl="0" w:tplc="000012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24C8"/>
    <w:multiLevelType w:val="hybridMultilevel"/>
    <w:tmpl w:val="00017F1D"/>
    <w:lvl w:ilvl="0" w:tplc="00001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D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25F"/>
    <w:multiLevelType w:val="hybridMultilevel"/>
    <w:tmpl w:val="0000A688"/>
    <w:lvl w:ilvl="0" w:tplc="00000D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487A"/>
    <w:multiLevelType w:val="hybridMultilevel"/>
    <w:tmpl w:val="0000944A"/>
    <w:lvl w:ilvl="0" w:tplc="000004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AE0"/>
    <w:multiLevelType w:val="hybridMultilevel"/>
    <w:tmpl w:val="00009CD9"/>
    <w:lvl w:ilvl="0" w:tplc="00000B8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B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4BE4"/>
    <w:multiLevelType w:val="hybridMultilevel"/>
    <w:tmpl w:val="0000ADF3"/>
    <w:lvl w:ilvl="0" w:tplc="000027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5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512B"/>
    <w:multiLevelType w:val="hybridMultilevel"/>
    <w:tmpl w:val="00003F0D"/>
    <w:lvl w:ilvl="0" w:tplc="00002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560B"/>
    <w:multiLevelType w:val="hybridMultilevel"/>
    <w:tmpl w:val="00011539"/>
    <w:lvl w:ilvl="0" w:tplc="0000086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1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5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0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5DA7"/>
    <w:multiLevelType w:val="hybridMultilevel"/>
    <w:tmpl w:val="0000CCF1"/>
    <w:lvl w:ilvl="0" w:tplc="000004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7122"/>
    <w:multiLevelType w:val="hybridMultilevel"/>
    <w:tmpl w:val="000082A0"/>
    <w:lvl w:ilvl="0" w:tplc="00001C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7182"/>
    <w:multiLevelType w:val="hybridMultilevel"/>
    <w:tmpl w:val="00015A4E"/>
    <w:lvl w:ilvl="0" w:tplc="00000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7278"/>
    <w:multiLevelType w:val="hybridMultilevel"/>
    <w:tmpl w:val="0000FD5F"/>
    <w:lvl w:ilvl="0" w:tplc="000010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72D7"/>
    <w:multiLevelType w:val="hybridMultilevel"/>
    <w:tmpl w:val="0000C247"/>
    <w:lvl w:ilvl="0" w:tplc="00001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3"/>
  </w:num>
  <w:num w:numId="3">
    <w:abstractNumId w:val="33"/>
  </w:num>
  <w:num w:numId="4">
    <w:abstractNumId w:val="22"/>
  </w:num>
  <w:num w:numId="5">
    <w:abstractNumId w:val="21"/>
  </w:num>
  <w:num w:numId="6">
    <w:abstractNumId w:val="42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9"/>
  </w:num>
  <w:num w:numId="14">
    <w:abstractNumId w:val="23"/>
  </w:num>
  <w:num w:numId="15">
    <w:abstractNumId w:val="29"/>
  </w:num>
  <w:num w:numId="16">
    <w:abstractNumId w:val="5"/>
  </w:num>
  <w:num w:numId="17">
    <w:abstractNumId w:val="41"/>
  </w:num>
  <w:num w:numId="18">
    <w:abstractNumId w:val="25"/>
  </w:num>
  <w:num w:numId="19">
    <w:abstractNumId w:val="17"/>
  </w:num>
  <w:num w:numId="20">
    <w:abstractNumId w:val="12"/>
  </w:num>
  <w:num w:numId="21">
    <w:abstractNumId w:val="16"/>
  </w:num>
  <w:num w:numId="22">
    <w:abstractNumId w:val="1"/>
  </w:num>
  <w:num w:numId="23">
    <w:abstractNumId w:val="31"/>
  </w:num>
  <w:num w:numId="24">
    <w:abstractNumId w:val="24"/>
  </w:num>
  <w:num w:numId="25">
    <w:abstractNumId w:val="3"/>
  </w:num>
  <w:num w:numId="26">
    <w:abstractNumId w:val="10"/>
  </w:num>
  <w:num w:numId="27">
    <w:abstractNumId w:val="30"/>
  </w:num>
  <w:num w:numId="28">
    <w:abstractNumId w:val="39"/>
  </w:num>
  <w:num w:numId="29">
    <w:abstractNumId w:val="40"/>
  </w:num>
  <w:num w:numId="30">
    <w:abstractNumId w:val="14"/>
  </w:num>
  <w:num w:numId="31">
    <w:abstractNumId w:val="18"/>
  </w:num>
  <w:num w:numId="32">
    <w:abstractNumId w:val="28"/>
  </w:num>
  <w:num w:numId="33">
    <w:abstractNumId w:val="26"/>
  </w:num>
  <w:num w:numId="34">
    <w:abstractNumId w:val="15"/>
  </w:num>
  <w:num w:numId="35">
    <w:abstractNumId w:val="20"/>
  </w:num>
  <w:num w:numId="36">
    <w:abstractNumId w:val="32"/>
  </w:num>
  <w:num w:numId="37">
    <w:abstractNumId w:val="36"/>
  </w:num>
  <w:num w:numId="38">
    <w:abstractNumId w:val="27"/>
  </w:num>
  <w:num w:numId="39">
    <w:abstractNumId w:val="38"/>
  </w:num>
  <w:num w:numId="40">
    <w:abstractNumId w:val="7"/>
  </w:num>
  <w:num w:numId="41">
    <w:abstractNumId w:val="35"/>
  </w:num>
  <w:num w:numId="42">
    <w:abstractNumId w:val="3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66C9"/>
    <w:rsid w:val="00D9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5959</Words>
  <Characters>33971</Characters>
  <Application>Microsoft Office Word</Application>
  <DocSecurity>4</DocSecurity>
  <Lines>283</Lines>
  <Paragraphs>79</Paragraphs>
  <ScaleCrop>false</ScaleCrop>
  <Company/>
  <LinksUpToDate>false</LinksUpToDate>
  <CharactersWithSpaces>39851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